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BD2DC" w:themeColor="accent4" w:themeTint="66"/>
  <w:body>
    <w:p w:rsidR="00095F30" w:rsidRPr="00F47C11" w:rsidRDefault="00531600" w:rsidP="00095F30">
      <w:pPr>
        <w:widowControl w:val="0"/>
        <w:tabs>
          <w:tab w:val="left" w:pos="340"/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center"/>
        <w:rPr>
          <w:rFonts w:ascii="Arial" w:hAnsi="Arial" w:cs="Arial"/>
          <w:b/>
          <w:bCs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b/>
          <w:bCs/>
          <w:color w:val="072B62" w:themeColor="background2" w:themeShade="40"/>
          <w:sz w:val="24"/>
          <w:szCs w:val="24"/>
          <w:u w:val="single"/>
        </w:rPr>
        <w:t>STATEMENT OF FUNDA</w:t>
      </w:r>
      <w:r w:rsidR="00095F30" w:rsidRPr="00F47C11">
        <w:rPr>
          <w:rFonts w:ascii="Arial" w:hAnsi="Arial" w:cs="Arial"/>
          <w:b/>
          <w:bCs/>
          <w:color w:val="072B62" w:themeColor="background2" w:themeShade="40"/>
          <w:sz w:val="24"/>
          <w:szCs w:val="24"/>
          <w:u w:val="single"/>
        </w:rPr>
        <w:t>MENTAL BELIEFS</w:t>
      </w:r>
    </w:p>
    <w:p w:rsidR="00095F30" w:rsidRPr="00F47C11" w:rsidRDefault="00095F30" w:rsidP="00095F30">
      <w:pPr>
        <w:widowControl w:val="0"/>
        <w:tabs>
          <w:tab w:val="left" w:pos="340"/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b/>
          <w:bCs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b/>
          <w:bCs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680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01.)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THE BIBLE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095F30" w:rsidRP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in the plenary verbal inspiration of the Scriptures.  That the whole Bible is the inspired word of God.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b/>
          <w:bCs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b/>
          <w:bCs/>
          <w:color w:val="072B62" w:themeColor="background2" w:themeShade="40"/>
          <w:sz w:val="24"/>
          <w:szCs w:val="24"/>
        </w:rPr>
        <w:tab/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2 Tim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othy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3:14-17;   2 Pe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ter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1:20-21.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02.)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GOD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the Godhead is eternal, co-equal and co-exist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ent in three person, not</w:t>
      </w:r>
    </w:p>
    <w:p w:rsid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72B62" w:themeColor="background2" w:themeShade="40"/>
          <w:sz w:val="24"/>
          <w:szCs w:val="24"/>
        </w:rPr>
        <w:t>three</w:t>
      </w:r>
      <w:proofErr w:type="gramEnd"/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 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Gods, but one.  Not one person but three, namely the Father, Son and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Holy Spirit.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>Gen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esis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1:26;   </w:t>
      </w:r>
      <w:r w:rsidR="00F47C11" w:rsidRPr="00F47C11">
        <w:rPr>
          <w:rFonts w:ascii="Arial" w:hAnsi="Arial" w:cs="Arial"/>
          <w:color w:val="072B62" w:themeColor="background2" w:themeShade="40"/>
          <w:sz w:val="24"/>
          <w:szCs w:val="24"/>
        </w:rPr>
        <w:t>Deut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eronomy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6:4;   M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at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t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hew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28:29.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03.)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JESUS CHRIST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r w:rsidR="00F47C11" w:rsidRPr="00F47C11"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that Jesus Christ was conceived by the Holy Ghost and born of the </w:t>
      </w:r>
    </w:p>
    <w:p w:rsidR="00095F30" w:rsidRP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       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Virgin Mary.  Thus I uphold his absolute deity as well as His complete humanity:  </w:t>
      </w:r>
    </w:p>
    <w:p w:rsidR="00095F30" w:rsidRP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proofErr w:type="gramStart"/>
      <w:r>
        <w:rPr>
          <w:rFonts w:ascii="Arial" w:hAnsi="Arial" w:cs="Arial"/>
          <w:color w:val="072B62" w:themeColor="background2" w:themeShade="40"/>
          <w:sz w:val="24"/>
          <w:szCs w:val="24"/>
        </w:rPr>
        <w:t>t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wo</w:t>
      </w:r>
      <w:proofErr w:type="gramEnd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natures but one undivided person.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>L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u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k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1:30-35;   J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ohn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1:1;   </w:t>
      </w:r>
      <w:r w:rsidR="00F47C11" w:rsidRPr="00F47C11">
        <w:rPr>
          <w:rFonts w:ascii="Arial" w:hAnsi="Arial" w:cs="Arial"/>
          <w:color w:val="072B62" w:themeColor="background2" w:themeShade="40"/>
          <w:sz w:val="24"/>
          <w:szCs w:val="24"/>
        </w:rPr>
        <w:t>Phil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ippians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2:5-8.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04.)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THE RESURRECTION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095F30" w:rsidRP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We 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believe in the bodily resurrection of the Lord Jesus Chr</w:t>
      </w:r>
      <w:r>
        <w:rPr>
          <w:rFonts w:ascii="Arial" w:hAnsi="Arial" w:cs="Arial"/>
          <w:color w:val="072B62" w:themeColor="background2" w:themeShade="40"/>
          <w:sz w:val="24"/>
          <w:szCs w:val="24"/>
        </w:rPr>
        <w:t>ist and that he ascended into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Heaven; where He is now seated at the right hand of God.  </w:t>
      </w:r>
    </w:p>
    <w:p w:rsidR="00095F30" w:rsidRP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We 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also believe in the bodily resurrection; of all the dead.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>Dan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iel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12:2;   M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ar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k12:36;   14:62;   1Cor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inthians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15:3-4 &amp; 20.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05.)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LORDSHIP OF CHRIST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r w:rsidR="00F47C11" w:rsidRPr="00F47C11"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that Jesus Christ and no other is the Head of the Church.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>Eph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esians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1:22-23;   4:15-16;   </w:t>
      </w:r>
      <w:r w:rsidR="00F47C11" w:rsidRPr="00F47C11">
        <w:rPr>
          <w:rFonts w:ascii="Arial" w:hAnsi="Arial" w:cs="Arial"/>
          <w:color w:val="072B62" w:themeColor="background2" w:themeShade="40"/>
          <w:sz w:val="24"/>
          <w:szCs w:val="24"/>
        </w:rPr>
        <w:t>Col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ossians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1:18-24.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06.)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THE SECOND ADVENT OF CHRIST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r w:rsidR="00F47C11" w:rsidRPr="00F47C11"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that the Lord Jesus will manifest Himself in glory and majesty, in a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>physical presence.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>M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a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t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thew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24:30;   L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u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k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21:27;   2 Thess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alonians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1:7-10.</w:t>
      </w:r>
    </w:p>
    <w:p w:rsidR="00F47C11" w:rsidRP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07.)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THE FALL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 xml:space="preserve">Every individual has sinned and is guilty before God.  Man by nature is </w:t>
      </w:r>
    </w:p>
    <w:p w:rsidR="00095F30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       </w:t>
      </w:r>
      <w:proofErr w:type="gramStart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depraved</w:t>
      </w:r>
      <w:proofErr w:type="gramEnd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</w:t>
      </w:r>
      <w:r>
        <w:rPr>
          <w:rFonts w:ascii="Arial" w:hAnsi="Arial" w:cs="Arial"/>
          <w:color w:val="072B62" w:themeColor="background2" w:themeShade="40"/>
          <w:sz w:val="24"/>
          <w:szCs w:val="24"/>
        </w:rPr>
        <w:t>a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nd is incapable of saving himself.</w:t>
      </w:r>
    </w:p>
    <w:p w:rsid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ab/>
      </w:r>
    </w:p>
    <w:p w:rsid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ab/>
        <w:t>Romans 3:23</w:t>
      </w:r>
    </w:p>
    <w:p w:rsidR="00F47C11" w:rsidRP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lastRenderedPageBreak/>
        <w:tab/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 xml:space="preserve">08.)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BAPTISM IN WATER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r w:rsidR="00F47C11" w:rsidRPr="00F47C11"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in baptism by total immersion, of believers only.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>M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at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t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hew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28:19;   Acts 2:38-41;   8:36-39;   10:47.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09.)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BAPTISM IN THE HOLY SPIRIT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r w:rsidR="00F47C11" w:rsidRPr="00F47C11"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that the Lord Jesus is the baptizer, in the Holy Spirit and that </w:t>
      </w:r>
    </w:p>
    <w:p w:rsid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       </w:t>
      </w:r>
      <w:proofErr w:type="gramStart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baptism</w:t>
      </w:r>
      <w:proofErr w:type="gramEnd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is a</w:t>
      </w:r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 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separate experience from salvation; and </w:t>
      </w:r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is promised to every </w:t>
      </w:r>
    </w:p>
    <w:p w:rsid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color w:val="072B62" w:themeColor="background2" w:themeShade="40"/>
          <w:sz w:val="24"/>
          <w:szCs w:val="24"/>
        </w:rPr>
        <w:t>believer</w:t>
      </w:r>
      <w:proofErr w:type="gramEnd"/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. 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The evidence </w:t>
      </w:r>
      <w:r>
        <w:rPr>
          <w:rFonts w:ascii="Arial" w:hAnsi="Arial" w:cs="Arial"/>
          <w:color w:val="072B62" w:themeColor="background2" w:themeShade="40"/>
          <w:sz w:val="24"/>
          <w:szCs w:val="24"/>
        </w:rPr>
        <w:t>t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hat one has been baptized in the Holy Spirit, is </w:t>
      </w:r>
    </w:p>
    <w:p w:rsidR="00095F30" w:rsidRPr="00F47C11" w:rsidRDefault="00F47C11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       </w:t>
      </w:r>
      <w:proofErr w:type="gramStart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speaking</w:t>
      </w:r>
      <w:proofErr w:type="gramEnd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in other tongues.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>M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at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t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hew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3:11;   Acts 1:4-8;   2:32-33;   8:14-17;   10:44-46.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10.)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SPIRITUAL GIFTS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4B3829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r w:rsidR="004B3829" w:rsidRPr="004B3829"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that God, has never removed the gifts referred to in 1 Cor.12 and </w:t>
      </w:r>
      <w:r w:rsidR="004B3829">
        <w:rPr>
          <w:rFonts w:ascii="Arial" w:hAnsi="Arial" w:cs="Arial"/>
          <w:color w:val="072B62" w:themeColor="background2" w:themeShade="40"/>
          <w:sz w:val="24"/>
          <w:szCs w:val="24"/>
        </w:rPr>
        <w:t xml:space="preserve"> </w:t>
      </w:r>
    </w:p>
    <w:p w:rsidR="00095F30" w:rsidRPr="00F47C11" w:rsidRDefault="004B3829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       </w:t>
      </w:r>
      <w:proofErr w:type="gramStart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that</w:t>
      </w:r>
      <w:proofErr w:type="gramEnd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</w:t>
      </w:r>
      <w:r>
        <w:rPr>
          <w:rFonts w:ascii="Arial" w:hAnsi="Arial" w:cs="Arial"/>
          <w:color w:val="072B62" w:themeColor="background2" w:themeShade="40"/>
          <w:sz w:val="24"/>
          <w:szCs w:val="24"/>
        </w:rPr>
        <w:t>when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ever the Holy Spirit moves upon the Church in power, these gifts are</w:t>
      </w:r>
    </w:p>
    <w:p w:rsidR="004B3829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proofErr w:type="gramStart"/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manifested</w:t>
      </w:r>
      <w:proofErr w:type="gramEnd"/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. </w:t>
      </w:r>
      <w:r w:rsidR="004B3829" w:rsidRPr="004B3829"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it is contrary to the </w:t>
      </w:r>
      <w:proofErr w:type="gramStart"/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Apostolic</w:t>
      </w:r>
      <w:proofErr w:type="gramEnd"/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command for anyone to </w:t>
      </w:r>
    </w:p>
    <w:p w:rsidR="00095F30" w:rsidRPr="00F47C11" w:rsidRDefault="004B3829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       </w:t>
      </w:r>
      <w:proofErr w:type="gramStart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forbid</w:t>
      </w:r>
      <w:proofErr w:type="gramEnd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p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eople from speaking in tongues.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11.)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DIVINE HEALING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720" w:right="31" w:hanging="38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r w:rsidR="004B3829" w:rsidRPr="004B3829"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in the gifts of healing and in miracle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s and that God still heals the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sick,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720" w:right="31" w:hanging="38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proofErr w:type="gramStart"/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and</w:t>
      </w:r>
      <w:proofErr w:type="gramEnd"/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performs miracles in our day.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>M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ark 16:16-18;   1 Corinthians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12:9;   James 5:14-15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12.)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SANCTIFICATION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r w:rsidR="004B3829" w:rsidRPr="004B3829"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that we are to obey the command “Be ye Holy as I am Holy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”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>Heb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rews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12:14;   1 Pet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er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1:16;   1 Thess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alonians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5:23-24.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13.)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THE PRIESTHOOD OF BELIEVERS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4B3829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r w:rsidR="004B3829" w:rsidRPr="004B3829"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that each individual believer has full and equal access to God </w:t>
      </w:r>
    </w:p>
    <w:p w:rsidR="00095F30" w:rsidRPr="00F47C11" w:rsidRDefault="004B3829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       </w:t>
      </w:r>
      <w:proofErr w:type="gramStart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through</w:t>
      </w:r>
      <w:proofErr w:type="gramEnd"/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our</w:t>
      </w:r>
      <w:r>
        <w:rPr>
          <w:rFonts w:ascii="Arial" w:hAnsi="Arial" w:cs="Arial"/>
          <w:color w:val="072B62" w:themeColor="background2" w:themeShade="40"/>
          <w:sz w:val="24"/>
          <w:szCs w:val="24"/>
        </w:rPr>
        <w:t xml:space="preserve"> </w:t>
      </w:r>
      <w:r w:rsidR="00095F30" w:rsidRPr="00F47C11">
        <w:rPr>
          <w:rFonts w:ascii="Arial" w:hAnsi="Arial" w:cs="Arial"/>
          <w:color w:val="072B62" w:themeColor="background2" w:themeShade="40"/>
          <w:sz w:val="24"/>
          <w:szCs w:val="24"/>
        </w:rPr>
        <w:t>Lord Jesus Christ.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>1 Pet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er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2:1-9;   Rev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elation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1:6.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14.) 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  <w:u w:val="single"/>
        </w:rPr>
        <w:t>THE JUDGEMENT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>: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720" w:right="31" w:hanging="380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</w:r>
      <w:r w:rsidR="004B3829" w:rsidRPr="004B3829">
        <w:rPr>
          <w:rFonts w:ascii="Arial" w:hAnsi="Arial" w:cs="Arial"/>
          <w:color w:val="072B62" w:themeColor="background2" w:themeShade="40"/>
          <w:sz w:val="24"/>
          <w:szCs w:val="24"/>
        </w:rPr>
        <w:t>We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believe that both the living and the dead will be judged, it being understood that the believer’s condemnation was borne by Christ.</w:t>
      </w: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</w:p>
    <w:p w:rsidR="00095F30" w:rsidRPr="00F47C11" w:rsidRDefault="00095F30" w:rsidP="00095F30">
      <w:pPr>
        <w:widowControl w:val="0"/>
        <w:tabs>
          <w:tab w:val="left" w:pos="340"/>
          <w:tab w:val="left" w:pos="793"/>
          <w:tab w:val="left" w:pos="1701"/>
          <w:tab w:val="left" w:pos="2835"/>
        </w:tabs>
        <w:autoSpaceDE w:val="0"/>
        <w:autoSpaceDN w:val="0"/>
        <w:adjustRightInd w:val="0"/>
        <w:spacing w:after="0" w:line="240" w:lineRule="auto"/>
        <w:ind w:left="340" w:right="31"/>
        <w:jc w:val="both"/>
        <w:rPr>
          <w:rFonts w:ascii="Arial" w:hAnsi="Arial" w:cs="Arial"/>
          <w:color w:val="072B62" w:themeColor="background2" w:themeShade="40"/>
          <w:sz w:val="24"/>
          <w:szCs w:val="24"/>
        </w:rPr>
      </w:pP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ab/>
        <w:t>J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ohn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5:24,   28:-29;   Rev</w:t>
      </w:r>
      <w:r w:rsidR="00F47C11">
        <w:rPr>
          <w:rFonts w:ascii="Arial" w:hAnsi="Arial" w:cs="Arial"/>
          <w:color w:val="072B62" w:themeColor="background2" w:themeShade="40"/>
          <w:sz w:val="24"/>
          <w:szCs w:val="24"/>
        </w:rPr>
        <w:t>elation</w:t>
      </w:r>
      <w:r w:rsidRPr="00F47C11">
        <w:rPr>
          <w:rFonts w:ascii="Arial" w:hAnsi="Arial" w:cs="Arial"/>
          <w:color w:val="072B62" w:themeColor="background2" w:themeShade="40"/>
          <w:sz w:val="24"/>
          <w:szCs w:val="24"/>
        </w:rPr>
        <w:t xml:space="preserve"> 20:11-15</w:t>
      </w:r>
      <w:bookmarkStart w:id="0" w:name="_GoBack"/>
      <w:bookmarkEnd w:id="0"/>
    </w:p>
    <w:p w:rsidR="00892727" w:rsidRPr="00F47C11" w:rsidRDefault="00892727">
      <w:pPr>
        <w:rPr>
          <w:rFonts w:ascii="Arial" w:hAnsi="Arial" w:cs="Arial"/>
          <w:color w:val="072B62" w:themeColor="background2" w:themeShade="40"/>
        </w:rPr>
      </w:pPr>
    </w:p>
    <w:sectPr w:rsidR="00892727" w:rsidRPr="00F47C11" w:rsidSect="008927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5F30"/>
    <w:rsid w:val="00095F30"/>
    <w:rsid w:val="004A5F8A"/>
    <w:rsid w:val="004B3829"/>
    <w:rsid w:val="00531600"/>
    <w:rsid w:val="005E2584"/>
    <w:rsid w:val="00892727"/>
    <w:rsid w:val="00EB597D"/>
    <w:rsid w:val="00F4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B43974-AC20-4F8C-8B54-893FEDF3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F3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3C82-EE24-49AB-B855-DEC7D1EF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Robbie Burns</cp:lastModifiedBy>
  <cp:revision>3</cp:revision>
  <cp:lastPrinted>2015-10-09T23:06:00Z</cp:lastPrinted>
  <dcterms:created xsi:type="dcterms:W3CDTF">2010-04-21T02:17:00Z</dcterms:created>
  <dcterms:modified xsi:type="dcterms:W3CDTF">2015-10-09T23:27:00Z</dcterms:modified>
</cp:coreProperties>
</file>